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0" w:after="40"/>
      </w:pPr>
      <w:r>
        <w:rPr>
          <w:rFonts w:ascii="Calibri" w:hAnsi="Calibri"/>
          <w:b/>
          <w:i w:val="0"/>
          <w:color w:val="2E75B6"/>
          <w:sz w:val="18"/>
        </w:rPr>
        <w:t>NORTHSTAR AI</w:t>
      </w:r>
    </w:p>
    <w:p>
      <w:pPr>
        <w:spacing w:before="0" w:after="80"/>
      </w:pPr>
      <w:r>
        <w:rPr>
          <w:rFonts w:ascii="Calibri" w:hAnsi="Calibri"/>
          <w:b/>
          <w:i w:val="0"/>
          <w:color w:val="17365D"/>
          <w:sz w:val="48"/>
        </w:rPr>
        <w:t>Beacon Product Overview</w:t>
      </w:r>
    </w:p>
    <w:tbl>
      <w:tblPr>
        <w:tblStyle w:val="TableGrid"/>
        <w:tblW w:type="dxa" w:w="9360"/>
        <w:jc w:val="left"/>
        <w:tblLayout w:type="fixed"/>
        <w:tblLook w:firstColumn="1" w:firstRow="1" w:lastColumn="0" w:lastRow="0" w:noHBand="0" w:noVBand="1" w:val="04A0"/>
        <w:tblInd w:w="120" w:type="dxa"/>
      </w:tblPr>
      <w:tblGrid>
        <w:gridCol w:w="1420"/>
        <w:gridCol w:w="3260"/>
        <w:gridCol w:w="1180"/>
        <w:gridCol w:w="3500"/>
      </w:tblGrid>
      <w:tr>
        <w:tc>
          <w:tcPr>
            <w:tcW w:type="dxa" w:w="1420"/>
            <w:shd w:fill="F2F4F7"/>
            <w:vAlign w:val="center"/>
            <w:tcMar>
              <w:top w:w="90" w:type="dxa"/>
              <w:start w:w="120" w:type="dxa"/>
              <w:bottom w:w="90" w:type="dxa"/>
              <w:end w:w="120" w:type="dxa"/>
            </w:tcMar>
          </w:tcPr>
          <w:p>
            <w:pPr>
              <w:spacing w:after="0"/>
            </w:pPr>
            <w:r>
              <w:rPr>
                <w:rFonts w:ascii="Calibri" w:hAnsi="Calibri"/>
                <w:b/>
                <w:i w:val="0"/>
                <w:color w:val="17365D"/>
                <w:sz w:val="17"/>
              </w:rPr>
              <w:t>Department</w:t>
            </w:r>
          </w:p>
        </w:tc>
        <w:tc>
          <w:tcPr>
            <w:tcW w:type="dxa" w:w="3260"/>
            <w:shd w:fill="FFFFFF"/>
            <w:vAlign w:val="center"/>
            <w:tcMar>
              <w:top w:w="90" w:type="dxa"/>
              <w:start w:w="120" w:type="dxa"/>
              <w:bottom w:w="90" w:type="dxa"/>
              <w:end w:w="120" w:type="dxa"/>
            </w:tcMar>
          </w:tcPr>
          <w:p>
            <w:pPr>
              <w:spacing w:after="0"/>
            </w:pPr>
            <w:r>
              <w:rPr>
                <w:rFonts w:ascii="Calibri" w:hAnsi="Calibri"/>
                <w:b w:val="0"/>
                <w:i w:val="0"/>
                <w:color w:val="202124"/>
                <w:sz w:val="17"/>
              </w:rPr>
              <w:t>Product</w:t>
            </w:r>
          </w:p>
        </w:tc>
        <w:tc>
          <w:tcPr>
            <w:tcW w:type="dxa" w:w="1180"/>
            <w:shd w:fill="F2F4F7"/>
            <w:vAlign w:val="center"/>
            <w:tcMar>
              <w:top w:w="90" w:type="dxa"/>
              <w:start w:w="120" w:type="dxa"/>
              <w:bottom w:w="90" w:type="dxa"/>
              <w:end w:w="120" w:type="dxa"/>
            </w:tcMar>
          </w:tcPr>
          <w:p>
            <w:pPr>
              <w:spacing w:after="0"/>
            </w:pPr>
            <w:r>
              <w:rPr>
                <w:rFonts w:ascii="Calibri" w:hAnsi="Calibri"/>
                <w:b/>
                <w:i w:val="0"/>
                <w:color w:val="17365D"/>
                <w:sz w:val="17"/>
              </w:rPr>
              <w:t>Owner</w:t>
            </w:r>
          </w:p>
        </w:tc>
        <w:tc>
          <w:tcPr>
            <w:tcW w:type="dxa" w:w="3500"/>
            <w:shd w:fill="FFFFFF"/>
            <w:vAlign w:val="center"/>
            <w:tcMar>
              <w:top w:w="90" w:type="dxa"/>
              <w:start w:w="120" w:type="dxa"/>
              <w:bottom w:w="90" w:type="dxa"/>
              <w:end w:w="120" w:type="dxa"/>
            </w:tcMar>
          </w:tcPr>
          <w:p>
            <w:pPr>
              <w:spacing w:after="0"/>
            </w:pPr>
            <w:r>
              <w:rPr>
                <w:rFonts w:ascii="Calibri" w:hAnsi="Calibri"/>
                <w:b w:val="0"/>
                <w:i w:val="0"/>
                <w:color w:val="202124"/>
                <w:sz w:val="17"/>
              </w:rPr>
              <w:t>Elena Rossi, VP Product</w:t>
            </w:r>
          </w:p>
        </w:tc>
      </w:tr>
      <w:tr>
        <w:tc>
          <w:tcPr>
            <w:tcW w:type="dxa" w:w="1420"/>
            <w:shd w:fill="F2F4F7"/>
            <w:vAlign w:val="center"/>
            <w:tcMar>
              <w:top w:w="90" w:type="dxa"/>
              <w:start w:w="120" w:type="dxa"/>
              <w:bottom w:w="90" w:type="dxa"/>
              <w:end w:w="120" w:type="dxa"/>
            </w:tcMar>
          </w:tcPr>
          <w:p>
            <w:pPr>
              <w:spacing w:after="0"/>
            </w:pPr>
            <w:r>
              <w:rPr>
                <w:rFonts w:ascii="Calibri" w:hAnsi="Calibri"/>
                <w:b/>
                <w:i w:val="0"/>
                <w:color w:val="17365D"/>
                <w:sz w:val="17"/>
              </w:rPr>
              <w:t>Date</w:t>
            </w:r>
          </w:p>
        </w:tc>
        <w:tc>
          <w:tcPr>
            <w:tcW w:type="dxa" w:w="3260"/>
            <w:shd w:fill="FFFFFF"/>
            <w:vAlign w:val="center"/>
            <w:tcMar>
              <w:top w:w="90" w:type="dxa"/>
              <w:start w:w="120" w:type="dxa"/>
              <w:bottom w:w="90" w:type="dxa"/>
              <w:end w:w="120" w:type="dxa"/>
            </w:tcMar>
          </w:tcPr>
          <w:p>
            <w:pPr>
              <w:spacing w:after="0"/>
            </w:pPr>
            <w:r>
              <w:rPr>
                <w:rFonts w:ascii="Calibri" w:hAnsi="Calibri"/>
                <w:b w:val="0"/>
                <w:i w:val="0"/>
                <w:color w:val="202124"/>
                <w:sz w:val="17"/>
              </w:rPr>
              <w:t>January 26, 2026</w:t>
            </w:r>
          </w:p>
        </w:tc>
        <w:tc>
          <w:tcPr>
            <w:tcW w:type="dxa" w:w="1180"/>
            <w:shd w:fill="F2F4F7"/>
            <w:vAlign w:val="center"/>
            <w:tcMar>
              <w:top w:w="90" w:type="dxa"/>
              <w:start w:w="120" w:type="dxa"/>
              <w:bottom w:w="90" w:type="dxa"/>
              <w:end w:w="120" w:type="dxa"/>
            </w:tcMar>
          </w:tcPr>
          <w:p>
            <w:pPr>
              <w:spacing w:after="0"/>
            </w:pPr>
            <w:r>
              <w:rPr>
                <w:rFonts w:ascii="Calibri" w:hAnsi="Calibri"/>
                <w:b/>
                <w:i w:val="0"/>
                <w:color w:val="17365D"/>
                <w:sz w:val="17"/>
              </w:rPr>
              <w:t>Status</w:t>
            </w:r>
          </w:p>
        </w:tc>
        <w:tc>
          <w:tcPr>
            <w:tcW w:type="dxa" w:w="3500"/>
            <w:shd w:fill="FFFFFF"/>
            <w:vAlign w:val="center"/>
            <w:tcMar>
              <w:top w:w="90" w:type="dxa"/>
              <w:start w:w="120" w:type="dxa"/>
              <w:bottom w:w="90" w:type="dxa"/>
              <w:end w:w="120" w:type="dxa"/>
            </w:tcMar>
          </w:tcPr>
          <w:p>
            <w:pPr>
              <w:spacing w:after="0"/>
            </w:pPr>
            <w:r>
              <w:rPr>
                <w:rFonts w:ascii="Calibri" w:hAnsi="Calibri"/>
                <w:b w:val="0"/>
                <w:i w:val="0"/>
                <w:color w:val="202124"/>
                <w:sz w:val="17"/>
              </w:rPr>
              <w:t>Final</w:t>
            </w:r>
          </w:p>
        </w:tc>
      </w:tr>
      <w:tr>
        <w:tc>
          <w:tcPr>
            <w:tcW w:type="dxa" w:w="1420"/>
            <w:shd w:fill="F2F4F7"/>
            <w:vAlign w:val="center"/>
            <w:tcMar>
              <w:top w:w="90" w:type="dxa"/>
              <w:start w:w="120" w:type="dxa"/>
              <w:bottom w:w="90" w:type="dxa"/>
              <w:end w:w="120" w:type="dxa"/>
            </w:tcMar>
          </w:tcPr>
          <w:p>
            <w:pPr>
              <w:spacing w:after="0"/>
            </w:pPr>
            <w:r>
              <w:rPr>
                <w:rFonts w:ascii="Calibri" w:hAnsi="Calibri"/>
                <w:b/>
                <w:i w:val="0"/>
                <w:color w:val="17365D"/>
                <w:sz w:val="17"/>
              </w:rPr>
              <w:t>Related Product</w:t>
            </w:r>
          </w:p>
        </w:tc>
        <w:tc>
          <w:tcPr>
            <w:tcW w:type="dxa" w:w="3260"/>
            <w:shd w:fill="FFFFFF"/>
            <w:vAlign w:val="center"/>
            <w:tcMar>
              <w:top w:w="90" w:type="dxa"/>
              <w:start w:w="120" w:type="dxa"/>
              <w:bottom w:w="90" w:type="dxa"/>
              <w:end w:w="120" w:type="dxa"/>
            </w:tcMar>
          </w:tcPr>
          <w:p>
            <w:pPr>
              <w:spacing w:after="0"/>
            </w:pPr>
            <w:r>
              <w:rPr>
                <w:rFonts w:ascii="Calibri" w:hAnsi="Calibri"/>
                <w:b w:val="0"/>
                <w:i w:val="0"/>
                <w:color w:val="202124"/>
                <w:sz w:val="17"/>
              </w:rPr>
              <w:t>Beacon</w:t>
            </w:r>
          </w:p>
        </w:tc>
        <w:tc>
          <w:tcPr>
            <w:tcW w:type="dxa" w:w="1180"/>
            <w:shd w:fill="F2F4F7"/>
            <w:vAlign w:val="center"/>
            <w:tcMar>
              <w:top w:w="90" w:type="dxa"/>
              <w:start w:w="120" w:type="dxa"/>
              <w:bottom w:w="90" w:type="dxa"/>
              <w:end w:w="120" w:type="dxa"/>
            </w:tcMar>
          </w:tcPr>
          <w:p>
            <w:pPr>
              <w:spacing w:after="0"/>
            </w:pPr>
            <w:r>
              <w:rPr>
                <w:rFonts w:ascii="Calibri" w:hAnsi="Calibri"/>
                <w:b/>
                <w:i w:val="0"/>
                <w:color w:val="17365D"/>
                <w:sz w:val="17"/>
              </w:rPr>
              <w:t>Classification</w:t>
            </w:r>
          </w:p>
        </w:tc>
        <w:tc>
          <w:tcPr>
            <w:tcW w:type="dxa" w:w="3500"/>
            <w:shd w:fill="FFFFFF"/>
            <w:vAlign w:val="center"/>
            <w:tcMar>
              <w:top w:w="90" w:type="dxa"/>
              <w:start w:w="120" w:type="dxa"/>
              <w:bottom w:w="90" w:type="dxa"/>
              <w:end w:w="120" w:type="dxa"/>
            </w:tcMar>
          </w:tcPr>
          <w:p>
            <w:pPr>
              <w:spacing w:after="0"/>
            </w:pPr>
            <w:r>
              <w:rPr>
                <w:rFonts w:ascii="Calibri" w:hAnsi="Calibri"/>
                <w:b w:val="0"/>
                <w:i w:val="0"/>
                <w:color w:val="202124"/>
                <w:sz w:val="17"/>
              </w:rPr>
              <w:t>Internal - fictional demo</w:t>
            </w:r>
          </w:p>
        </w:tc>
      </w:tr>
    </w:tbl>
    <w:p>
      <w:pPr>
        <w:spacing w:after="0"/>
      </w:pPr>
    </w:p>
    <w:p>
      <w:pPr>
        <w:pStyle w:val="Heading1"/>
      </w:pPr>
      <w:r>
        <w:t>Product summary</w:t>
      </w:r>
    </w:p>
    <w:p>
      <w:r>
        <w:rPr>
          <w:rFonts w:ascii="Calibri" w:hAnsi="Calibri"/>
          <w:b w:val="0"/>
          <w:i w:val="0"/>
          <w:color w:val="202124"/>
          <w:sz w:val="22"/>
        </w:rPr>
        <w:t>Beacon is Northstar AI document search and knowledge management software. It helps employees find reliable information across approved SharePoint libraries, internal knowledge sources, and connected document repositories.</w:t>
      </w:r>
    </w:p>
    <w:p>
      <w:pPr>
        <w:pStyle w:val="Heading1"/>
      </w:pPr>
      <w:r>
        <w:t>Target customers</w:t>
      </w:r>
    </w:p>
    <w:p>
      <w:pPr>
        <w:pStyle w:val="ListBullet"/>
      </w:pPr>
      <w:r>
        <w:rPr>
          <w:rFonts w:ascii="Calibri" w:hAnsi="Calibri"/>
          <w:b w:val="0"/>
          <w:i w:val="0"/>
          <w:color w:val="202124"/>
          <w:sz w:val="22"/>
        </w:rPr>
        <w:t>Operations and HR teams that answer repeated policy and process questions.</w:t>
      </w:r>
    </w:p>
    <w:p>
      <w:pPr>
        <w:pStyle w:val="ListBullet"/>
      </w:pPr>
      <w:r>
        <w:rPr>
          <w:rFonts w:ascii="Calibri" w:hAnsi="Calibri"/>
          <w:b w:val="0"/>
          <w:i w:val="0"/>
          <w:color w:val="202124"/>
          <w:sz w:val="22"/>
        </w:rPr>
        <w:t>Professional services and technology companies with growing document libraries.</w:t>
      </w:r>
    </w:p>
    <w:p>
      <w:pPr>
        <w:pStyle w:val="ListBullet"/>
      </w:pPr>
      <w:r>
        <w:rPr>
          <w:rFonts w:ascii="Calibri" w:hAnsi="Calibri"/>
          <w:b w:val="0"/>
          <w:i w:val="0"/>
          <w:color w:val="202124"/>
          <w:sz w:val="22"/>
        </w:rPr>
        <w:t>IT and knowledge-management leaders who need permission-aware enterprise search.</w:t>
      </w:r>
    </w:p>
    <w:p>
      <w:pPr>
        <w:pStyle w:val="Heading1"/>
      </w:pPr>
      <w:r>
        <w:t>Core features</w:t>
      </w:r>
    </w:p>
    <w:tbl>
      <w:tblPr>
        <w:tblStyle w:val="TableGrid"/>
        <w:tblW w:type="dxa" w:w="9360"/>
        <w:jc w:val="left"/>
        <w:tblLayout w:type="fixed"/>
        <w:tblLook w:firstColumn="1" w:firstRow="1" w:lastColumn="0" w:lastRow="0" w:noHBand="0" w:noVBand="1" w:val="04A0"/>
        <w:tblInd w:w="120" w:type="dxa"/>
      </w:tblPr>
      <w:tblGrid>
        <w:gridCol w:w="2100"/>
        <w:gridCol w:w="4140"/>
        <w:gridCol w:w="3120"/>
      </w:tblGrid>
      <w:tr>
        <w:trPr>
          <w:tblHeader w:val="true"/>
        </w:trPr>
        <w:tc>
          <w:tcPr>
            <w:tcW w:type="dxa" w:w="2100"/>
            <w:shd w:fill="17365D"/>
            <w:vAlign w:val="center"/>
            <w:tcMar>
              <w:top w:w="90" w:type="dxa"/>
              <w:start w:w="120" w:type="dxa"/>
              <w:bottom w:w="90" w:type="dxa"/>
              <w:end w:w="120" w:type="dxa"/>
            </w:tcMar>
          </w:tcPr>
          <w:p>
            <w:pPr>
              <w:spacing w:after="0"/>
            </w:pPr>
            <w:r>
              <w:rPr>
                <w:rFonts w:ascii="Calibri" w:hAnsi="Calibri"/>
                <w:b/>
                <w:i w:val="0"/>
                <w:color w:val="FFFFFF"/>
                <w:sz w:val="17"/>
              </w:rPr>
              <w:t>Feature</w:t>
            </w:r>
          </w:p>
        </w:tc>
        <w:tc>
          <w:tcPr>
            <w:tcW w:type="dxa" w:w="4140"/>
            <w:shd w:fill="17365D"/>
            <w:vAlign w:val="center"/>
            <w:tcMar>
              <w:top w:w="90" w:type="dxa"/>
              <w:start w:w="120" w:type="dxa"/>
              <w:bottom w:w="90" w:type="dxa"/>
              <w:end w:w="120" w:type="dxa"/>
            </w:tcMar>
          </w:tcPr>
          <w:p>
            <w:pPr>
              <w:spacing w:after="0"/>
            </w:pPr>
            <w:r>
              <w:rPr>
                <w:rFonts w:ascii="Calibri" w:hAnsi="Calibri"/>
                <w:b/>
                <w:i w:val="0"/>
                <w:color w:val="FFFFFF"/>
                <w:sz w:val="17"/>
              </w:rPr>
              <w:t>What it does</w:t>
            </w:r>
          </w:p>
        </w:tc>
        <w:tc>
          <w:tcPr>
            <w:tcW w:type="dxa" w:w="3120"/>
            <w:shd w:fill="17365D"/>
            <w:vAlign w:val="center"/>
            <w:tcMar>
              <w:top w:w="90" w:type="dxa"/>
              <w:start w:w="120" w:type="dxa"/>
              <w:bottom w:w="90" w:type="dxa"/>
              <w:end w:w="120" w:type="dxa"/>
            </w:tcMar>
          </w:tcPr>
          <w:p>
            <w:pPr>
              <w:spacing w:after="0"/>
            </w:pPr>
            <w:r>
              <w:rPr>
                <w:rFonts w:ascii="Calibri" w:hAnsi="Calibri"/>
                <w:b/>
                <w:i w:val="0"/>
                <w:color w:val="FFFFFF"/>
                <w:sz w:val="17"/>
              </w:rPr>
              <w:t>Typical use</w:t>
            </w:r>
          </w:p>
        </w:tc>
      </w:tr>
      <w:tr>
        <w:tc>
          <w:tcPr>
            <w:tcW w:type="dxa" w:w="2100"/>
            <w:vAlign w:val="center"/>
            <w:tcMar>
              <w:top w:w="90" w:type="dxa"/>
              <w:start w:w="120" w:type="dxa"/>
              <w:bottom w:w="90" w:type="dxa"/>
              <w:end w:w="120" w:type="dxa"/>
            </w:tcMar>
          </w:tcPr>
          <w:p>
            <w:pPr>
              <w:spacing w:after="0"/>
            </w:pPr>
            <w:r>
              <w:rPr>
                <w:rFonts w:ascii="Calibri" w:hAnsi="Calibri"/>
                <w:b w:val="0"/>
                <w:i w:val="0"/>
                <w:color w:val="202124"/>
                <w:sz w:val="16"/>
              </w:rPr>
              <w:t>Semantic Search</w:t>
            </w:r>
          </w:p>
        </w:tc>
        <w:tc>
          <w:tcPr>
            <w:tcW w:type="dxa" w:w="4140"/>
            <w:vAlign w:val="center"/>
            <w:tcMar>
              <w:top w:w="90" w:type="dxa"/>
              <w:start w:w="120" w:type="dxa"/>
              <w:bottom w:w="90" w:type="dxa"/>
              <w:end w:w="120" w:type="dxa"/>
            </w:tcMar>
          </w:tcPr>
          <w:p>
            <w:pPr>
              <w:spacing w:after="0"/>
            </w:pPr>
            <w:r>
              <w:rPr>
                <w:rFonts w:ascii="Calibri" w:hAnsi="Calibri"/>
                <w:b w:val="0"/>
                <w:i w:val="0"/>
                <w:color w:val="202124"/>
                <w:sz w:val="16"/>
              </w:rPr>
              <w:t>Finds relevant documents even when the query differs from the filename.</w:t>
            </w:r>
          </w:p>
        </w:tc>
        <w:tc>
          <w:tcPr>
            <w:tcW w:type="dxa" w:w="3120"/>
            <w:vAlign w:val="center"/>
            <w:tcMar>
              <w:top w:w="90" w:type="dxa"/>
              <w:start w:w="120" w:type="dxa"/>
              <w:bottom w:w="90" w:type="dxa"/>
              <w:end w:w="120" w:type="dxa"/>
            </w:tcMar>
          </w:tcPr>
          <w:p>
            <w:pPr>
              <w:spacing w:after="0"/>
            </w:pPr>
            <w:r>
              <w:rPr>
                <w:rFonts w:ascii="Calibri" w:hAnsi="Calibri"/>
                <w:b w:val="0"/>
                <w:i w:val="0"/>
                <w:color w:val="202124"/>
                <w:sz w:val="16"/>
              </w:rPr>
              <w:t>Vague recollection</w:t>
            </w:r>
          </w:p>
        </w:tc>
      </w:tr>
      <w:tr>
        <w:tc>
          <w:tcPr>
            <w:tcW w:type="dxa" w:w="2100"/>
            <w:shd w:fill="F8FAFC"/>
            <w:vAlign w:val="center"/>
            <w:tcMar>
              <w:top w:w="90" w:type="dxa"/>
              <w:start w:w="120" w:type="dxa"/>
              <w:bottom w:w="90" w:type="dxa"/>
              <w:end w:w="120" w:type="dxa"/>
            </w:tcMar>
          </w:tcPr>
          <w:p>
            <w:pPr>
              <w:spacing w:after="0"/>
            </w:pPr>
            <w:r>
              <w:rPr>
                <w:rFonts w:ascii="Calibri" w:hAnsi="Calibri"/>
                <w:b w:val="0"/>
                <w:i w:val="0"/>
                <w:color w:val="202124"/>
                <w:sz w:val="16"/>
              </w:rPr>
              <w:t>Answer with Sources</w:t>
            </w:r>
          </w:p>
        </w:tc>
        <w:tc>
          <w:tcPr>
            <w:tcW w:type="dxa" w:w="4140"/>
            <w:shd w:fill="F8FAFC"/>
            <w:vAlign w:val="center"/>
            <w:tcMar>
              <w:top w:w="90" w:type="dxa"/>
              <w:start w:w="120" w:type="dxa"/>
              <w:bottom w:w="90" w:type="dxa"/>
              <w:end w:w="120" w:type="dxa"/>
            </w:tcMar>
          </w:tcPr>
          <w:p>
            <w:pPr>
              <w:spacing w:after="0"/>
            </w:pPr>
            <w:r>
              <w:rPr>
                <w:rFonts w:ascii="Calibri" w:hAnsi="Calibri"/>
                <w:b w:val="0"/>
                <w:i w:val="0"/>
                <w:color w:val="202124"/>
                <w:sz w:val="16"/>
              </w:rPr>
              <w:t>Summarizes content and links to supporting documents.</w:t>
            </w:r>
          </w:p>
        </w:tc>
        <w:tc>
          <w:tcPr>
            <w:tcW w:type="dxa" w:w="3120"/>
            <w:shd w:fill="F8FAFC"/>
            <w:vAlign w:val="center"/>
            <w:tcMar>
              <w:top w:w="90" w:type="dxa"/>
              <w:start w:w="120" w:type="dxa"/>
              <w:bottom w:w="90" w:type="dxa"/>
              <w:end w:w="120" w:type="dxa"/>
            </w:tcMar>
          </w:tcPr>
          <w:p>
            <w:pPr>
              <w:spacing w:after="0"/>
            </w:pPr>
            <w:r>
              <w:rPr>
                <w:rFonts w:ascii="Calibri" w:hAnsi="Calibri"/>
                <w:b w:val="0"/>
                <w:i w:val="0"/>
                <w:color w:val="202124"/>
                <w:sz w:val="16"/>
              </w:rPr>
              <w:t>Policy questions</w:t>
            </w:r>
          </w:p>
        </w:tc>
      </w:tr>
      <w:tr>
        <w:tc>
          <w:tcPr>
            <w:tcW w:type="dxa" w:w="2100"/>
            <w:vAlign w:val="center"/>
            <w:tcMar>
              <w:top w:w="90" w:type="dxa"/>
              <w:start w:w="120" w:type="dxa"/>
              <w:bottom w:w="90" w:type="dxa"/>
              <w:end w:w="120" w:type="dxa"/>
            </w:tcMar>
          </w:tcPr>
          <w:p>
            <w:pPr>
              <w:spacing w:after="0"/>
            </w:pPr>
            <w:r>
              <w:rPr>
                <w:rFonts w:ascii="Calibri" w:hAnsi="Calibri"/>
                <w:b w:val="0"/>
                <w:i w:val="0"/>
                <w:color w:val="202124"/>
                <w:sz w:val="16"/>
              </w:rPr>
              <w:t>Permission Sync</w:t>
            </w:r>
          </w:p>
        </w:tc>
        <w:tc>
          <w:tcPr>
            <w:tcW w:type="dxa" w:w="4140"/>
            <w:vAlign w:val="center"/>
            <w:tcMar>
              <w:top w:w="90" w:type="dxa"/>
              <w:start w:w="120" w:type="dxa"/>
              <w:bottom w:w="90" w:type="dxa"/>
              <w:end w:w="120" w:type="dxa"/>
            </w:tcMar>
          </w:tcPr>
          <w:p>
            <w:pPr>
              <w:spacing w:after="0"/>
            </w:pPr>
            <w:r>
              <w:rPr>
                <w:rFonts w:ascii="Calibri" w:hAnsi="Calibri"/>
                <w:b w:val="0"/>
                <w:i w:val="0"/>
                <w:color w:val="202124"/>
                <w:sz w:val="16"/>
              </w:rPr>
              <w:t>Respects source-system access controls.</w:t>
            </w:r>
          </w:p>
        </w:tc>
        <w:tc>
          <w:tcPr>
            <w:tcW w:type="dxa" w:w="3120"/>
            <w:vAlign w:val="center"/>
            <w:tcMar>
              <w:top w:w="90" w:type="dxa"/>
              <w:start w:w="120" w:type="dxa"/>
              <w:bottom w:w="90" w:type="dxa"/>
              <w:end w:w="120" w:type="dxa"/>
            </w:tcMar>
          </w:tcPr>
          <w:p>
            <w:pPr>
              <w:spacing w:after="0"/>
            </w:pPr>
            <w:r>
              <w:rPr>
                <w:rFonts w:ascii="Calibri" w:hAnsi="Calibri"/>
                <w:b w:val="0"/>
                <w:i w:val="0"/>
                <w:color w:val="202124"/>
                <w:sz w:val="16"/>
              </w:rPr>
              <w:t>Secure internal search</w:t>
            </w:r>
          </w:p>
        </w:tc>
      </w:tr>
      <w:tr>
        <w:tc>
          <w:tcPr>
            <w:tcW w:type="dxa" w:w="2100"/>
            <w:shd w:fill="F8FAFC"/>
            <w:vAlign w:val="center"/>
            <w:tcMar>
              <w:top w:w="90" w:type="dxa"/>
              <w:start w:w="120" w:type="dxa"/>
              <w:bottom w:w="90" w:type="dxa"/>
              <w:end w:w="120" w:type="dxa"/>
            </w:tcMar>
          </w:tcPr>
          <w:p>
            <w:pPr>
              <w:spacing w:after="0"/>
            </w:pPr>
            <w:r>
              <w:rPr>
                <w:rFonts w:ascii="Calibri" w:hAnsi="Calibri"/>
                <w:b w:val="0"/>
                <w:i w:val="0"/>
                <w:color w:val="202124"/>
                <w:sz w:val="16"/>
              </w:rPr>
              <w:t>Knowledge Collections</w:t>
            </w:r>
          </w:p>
        </w:tc>
        <w:tc>
          <w:tcPr>
            <w:tcW w:type="dxa" w:w="4140"/>
            <w:shd w:fill="F8FAFC"/>
            <w:vAlign w:val="center"/>
            <w:tcMar>
              <w:top w:w="90" w:type="dxa"/>
              <w:start w:w="120" w:type="dxa"/>
              <w:bottom w:w="90" w:type="dxa"/>
              <w:end w:w="120" w:type="dxa"/>
            </w:tcMar>
          </w:tcPr>
          <w:p>
            <w:pPr>
              <w:spacing w:after="0"/>
            </w:pPr>
            <w:r>
              <w:rPr>
                <w:rFonts w:ascii="Calibri" w:hAnsi="Calibri"/>
                <w:b w:val="0"/>
                <w:i w:val="0"/>
                <w:color w:val="202124"/>
                <w:sz w:val="16"/>
              </w:rPr>
              <w:t>Groups approved content by team or topic.</w:t>
            </w:r>
          </w:p>
        </w:tc>
        <w:tc>
          <w:tcPr>
            <w:tcW w:type="dxa" w:w="3120"/>
            <w:shd w:fill="F8FAFC"/>
            <w:vAlign w:val="center"/>
            <w:tcMar>
              <w:top w:w="90" w:type="dxa"/>
              <w:start w:w="120" w:type="dxa"/>
              <w:bottom w:w="90" w:type="dxa"/>
              <w:end w:w="120" w:type="dxa"/>
            </w:tcMar>
          </w:tcPr>
          <w:p>
            <w:pPr>
              <w:spacing w:after="0"/>
            </w:pPr>
            <w:r>
              <w:rPr>
                <w:rFonts w:ascii="Calibri" w:hAnsi="Calibri"/>
                <w:b w:val="0"/>
                <w:i w:val="0"/>
                <w:color w:val="202124"/>
                <w:sz w:val="16"/>
              </w:rPr>
              <w:t>Department portals</w:t>
            </w:r>
          </w:p>
        </w:tc>
      </w:tr>
      <w:tr>
        <w:tc>
          <w:tcPr>
            <w:tcW w:type="dxa" w:w="2100"/>
            <w:vAlign w:val="center"/>
            <w:tcMar>
              <w:top w:w="90" w:type="dxa"/>
              <w:start w:w="120" w:type="dxa"/>
              <w:bottom w:w="90" w:type="dxa"/>
              <w:end w:w="120" w:type="dxa"/>
            </w:tcMar>
          </w:tcPr>
          <w:p>
            <w:pPr>
              <w:spacing w:after="0"/>
            </w:pPr>
            <w:r>
              <w:rPr>
                <w:rFonts w:ascii="Calibri" w:hAnsi="Calibri"/>
                <w:b w:val="0"/>
                <w:i w:val="0"/>
                <w:color w:val="202124"/>
                <w:sz w:val="16"/>
              </w:rPr>
              <w:t>Freshness Signals</w:t>
            </w:r>
          </w:p>
        </w:tc>
        <w:tc>
          <w:tcPr>
            <w:tcW w:type="dxa" w:w="4140"/>
            <w:vAlign w:val="center"/>
            <w:tcMar>
              <w:top w:w="90" w:type="dxa"/>
              <w:start w:w="120" w:type="dxa"/>
              <w:bottom w:w="90" w:type="dxa"/>
              <w:end w:w="120" w:type="dxa"/>
            </w:tcMar>
          </w:tcPr>
          <w:p>
            <w:pPr>
              <w:spacing w:after="0"/>
            </w:pPr>
            <w:r>
              <w:rPr>
                <w:rFonts w:ascii="Calibri" w:hAnsi="Calibri"/>
                <w:b w:val="0"/>
                <w:i w:val="0"/>
                <w:color w:val="202124"/>
                <w:sz w:val="16"/>
              </w:rPr>
              <w:t>Highlights owners, review dates, and stale content.</w:t>
            </w:r>
          </w:p>
        </w:tc>
        <w:tc>
          <w:tcPr>
            <w:tcW w:type="dxa" w:w="3120"/>
            <w:vAlign w:val="center"/>
            <w:tcMar>
              <w:top w:w="90" w:type="dxa"/>
              <w:start w:w="120" w:type="dxa"/>
              <w:bottom w:w="90" w:type="dxa"/>
              <w:end w:w="120" w:type="dxa"/>
            </w:tcMar>
          </w:tcPr>
          <w:p>
            <w:pPr>
              <w:spacing w:after="0"/>
            </w:pPr>
            <w:r>
              <w:rPr>
                <w:rFonts w:ascii="Calibri" w:hAnsi="Calibri"/>
                <w:b w:val="0"/>
                <w:i w:val="0"/>
                <w:color w:val="202124"/>
                <w:sz w:val="16"/>
              </w:rPr>
              <w:t>Content governance</w:t>
            </w:r>
          </w:p>
        </w:tc>
      </w:tr>
    </w:tbl>
    <w:p>
      <w:pPr>
        <w:pStyle w:val="Heading1"/>
      </w:pPr>
      <w:r>
        <w:t>Typical workflow</w:t>
      </w:r>
    </w:p>
    <w:p>
      <w:pPr>
        <w:pStyle w:val="ListNumber"/>
      </w:pPr>
      <w:r>
        <w:rPr>
          <w:rFonts w:ascii="Calibri" w:hAnsi="Calibri"/>
          <w:b w:val="0"/>
          <w:i w:val="0"/>
          <w:color w:val="202124"/>
          <w:sz w:val="22"/>
        </w:rPr>
        <w:t>An administrator connects a SharePoint site and selects libraries to index.</w:t>
      </w:r>
    </w:p>
    <w:p>
      <w:pPr>
        <w:pStyle w:val="ListNumber"/>
      </w:pPr>
      <w:r>
        <w:rPr>
          <w:rFonts w:ascii="Calibri" w:hAnsi="Calibri"/>
          <w:b w:val="0"/>
          <w:i w:val="0"/>
          <w:color w:val="202124"/>
          <w:sz w:val="22"/>
        </w:rPr>
        <w:t>Beacon reads permitted content and records document titles, text, owners, and dates.</w:t>
      </w:r>
    </w:p>
    <w:p>
      <w:pPr>
        <w:pStyle w:val="ListNumber"/>
      </w:pPr>
      <w:r>
        <w:rPr>
          <w:rFonts w:ascii="Calibri" w:hAnsi="Calibri"/>
          <w:b w:val="0"/>
          <w:i w:val="0"/>
          <w:color w:val="202124"/>
          <w:sz w:val="22"/>
        </w:rPr>
        <w:t>An employee asks a question in plain language.</w:t>
      </w:r>
    </w:p>
    <w:p>
      <w:pPr>
        <w:pStyle w:val="ListNumber"/>
      </w:pPr>
      <w:r>
        <w:rPr>
          <w:rFonts w:ascii="Calibri" w:hAnsi="Calibri"/>
          <w:b w:val="0"/>
          <w:i w:val="0"/>
          <w:color w:val="202124"/>
          <w:sz w:val="22"/>
        </w:rPr>
        <w:t>Beacon returns a concise answer with links to the most relevant files.</w:t>
      </w:r>
    </w:p>
    <w:p>
      <w:pPr>
        <w:pStyle w:val="Heading1"/>
      </w:pPr>
      <w:r>
        <w:t>Product boundary</w:t>
      </w:r>
    </w:p>
    <w:p>
      <w:r>
        <w:rPr>
          <w:rFonts w:ascii="Calibri" w:hAnsi="Calibri"/>
          <w:b w:val="0"/>
          <w:i w:val="0"/>
          <w:color w:val="202124"/>
          <w:sz w:val="22"/>
        </w:rPr>
        <w:t>Beacon helps people find and understand company knowledge. It does not change source documents, grant new permissions, or decide which policy is authoritative. Content owners remain responsible for accuracy and review dates.</w:t>
      </w:r>
    </w:p>
    <w:sectPr w:rsidR="00FC693F" w:rsidRPr="0006063C" w:rsidSect="00034616">
      <w:headerReference w:type="default" r:id="rId9"/>
      <w:footerReference w:type="default" r:id="rId10"/>
      <w:pgSz w:w="12240" w:h="15840"/>
      <w:pgMar w:top="1037" w:right="1224" w:bottom="1008" w:left="1224"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jc w:val="right"/>
    </w:pPr>
    <w:r>
      <w:rPr>
        <w:rFonts w:ascii="Calibri" w:hAnsi="Calibri"/>
        <w:b w:val="0"/>
        <w:i w:val="0"/>
        <w:color w:val="6B7280"/>
        <w:sz w:val="16"/>
      </w:rPr>
      <w:t xml:space="preserve">Page </w:t>
    </w:r>
    <w:fldChar w:fldCharType="begin"/>
    <w:instrText xml:space="preserve"> PAGE </w:instrText>
    <w:fldChar w:fldCharType="end"/>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b/>
        <w:i w:val="0"/>
        <w:color w:val="6B7280"/>
        <w:sz w:val="16"/>
      </w:rPr>
      <w:t>NORTHSTAR AI  |  INTERNAL DEMO CONTENT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Calibri" w:hAnsi="Calibri"/>
      <w:color w:val="202124"/>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40"/>
      <w:outlineLvl w:val="0"/>
    </w:pPr>
    <w:rPr>
      <w:rFonts w:asciiTheme="majorHAnsi" w:eastAsiaTheme="majorEastAsia" w:hAnsiTheme="majorHAnsi" w:cstheme="majorBidi" w:ascii="Calibri" w:hAnsi="Calibri"/>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Calibri" w:hAnsi="Calibri"/>
      <w:b/>
      <w:bCs/>
      <w:color w:val="2E75B6"/>
      <w:sz w:val="26"/>
      <w:szCs w:val="26"/>
    </w:rPr>
  </w:style>
  <w:style w:type="paragraph" w:styleId="Heading3">
    <w:name w:val="heading 3"/>
    <w:basedOn w:val="Normal"/>
    <w:next w:val="Normal"/>
    <w:link w:val="Heading3Char"/>
    <w:uiPriority w:val="9"/>
    <w:unhideWhenUsed/>
    <w:qFormat/>
    <w:rsid w:val="00FC693F"/>
    <w:pPr>
      <w:keepNext/>
      <w:keepLines/>
      <w:spacing w:before="140" w:after="60"/>
      <w:outlineLvl w:val="2"/>
    </w:pPr>
    <w:rPr>
      <w:rFonts w:asciiTheme="majorHAnsi" w:eastAsiaTheme="majorEastAsia" w:hAnsiTheme="majorHAnsi" w:cstheme="majorBidi" w:ascii="Calibri" w:hAnsi="Calibri"/>
      <w:b/>
      <w:bCs/>
      <w:color w:val="17365D"/>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line="269" w:lineRule="auto"/>
      <w:ind w:left="547" w:hanging="259"/>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line="269" w:lineRule="auto"/>
      <w:ind w:left="547" w:hanging="259"/>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3238C52ED960247B3A2824D8BC4D643" ma:contentTypeVersion="3" ma:contentTypeDescription="Create a new document." ma:contentTypeScope="" ma:versionID="7acf50459a7166135bf44d3f930b1b1c">
  <xsd:schema xmlns:xsd="http://www.w3.org/2001/XMLSchema" xmlns:xs="http://www.w3.org/2001/XMLSchema" xmlns:p="http://schemas.microsoft.com/office/2006/metadata/properties" xmlns:ns2="21b1b137-97de-42cf-a5fb-314c468c8af0" targetNamespace="http://schemas.microsoft.com/office/2006/metadata/properties" ma:root="true" ma:fieldsID="5f28b13b4b142af8a6531b2ad340f1be" ns2:_="">
    <xsd:import namespace="21b1b137-97de-42cf-a5fb-314c468c8a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1b137-97de-42cf-a5fb-314c468c8a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C9B7E8C9-89BF-4FAF-844D-DB63277C92AA}"/>
</file>

<file path=customXml/itemProps3.xml><?xml version="1.0" encoding="utf-8"?>
<ds:datastoreItem xmlns:ds="http://schemas.openxmlformats.org/officeDocument/2006/customXml" ds:itemID="{0A8803DE-79EE-431D-BF5C-9A8D739099BF}"/>
</file>

<file path=customXml/itemProps4.xml><?xml version="1.0" encoding="utf-8"?>
<ds:datastoreItem xmlns:ds="http://schemas.openxmlformats.org/officeDocument/2006/customXml" ds:itemID="{755C2455-A45F-4671-94D2-8156C06D48FC}"/>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0x010100D3238C52ED960247B3A2824D8BC4D643</vt:lpwstr>
  </property>
</Properties>
</file>